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after="298" w:line="240" w:lineRule="auto"/>
        <w:jc w:val="left"/>
        <w:rPr>
          <w:rFonts w:ascii="Times New Roman" w:cs="Times New Roman" w:hAnsi="Times New Roman" w:eastAsia="Times New Roman"/>
          <w:b w:val="1"/>
          <w:bCs w:val="1"/>
          <w:sz w:val="36"/>
          <w:szCs w:val="36"/>
        </w:rPr>
      </w:pPr>
      <w:r>
        <w:rPr>
          <w:rFonts w:ascii="Times New Roman" w:hAnsi="Times New Roman"/>
          <w:b w:val="1"/>
          <w:bCs w:val="1"/>
          <w:sz w:val="48"/>
          <w:szCs w:val="48"/>
          <w:rtl w:val="0"/>
          <w:lang w:val="de-DE"/>
        </w:rPr>
        <w:t>ENGAGEMENT LETTER</w:t>
      </w:r>
    </w:p>
    <w:p>
      <w:pPr>
        <w:pStyle w:val="Default"/>
        <w:suppressAutoHyphens w:val="1"/>
        <w:spacing w:before="0" w:after="240" w:line="240" w:lineRule="auto"/>
        <w:jc w:val="left"/>
        <w:rPr>
          <w:rFonts w:ascii="Times New Roman" w:cs="Times New Roman" w:hAnsi="Times New Roman" w:eastAsia="Times New Roman"/>
          <w:b w:val="0"/>
          <w:bCs w:val="0"/>
          <w:sz w:val="24"/>
          <w:szCs w:val="24"/>
        </w:rPr>
      </w:pPr>
      <w:r>
        <w:rPr>
          <w:rFonts w:ascii="Times New Roman" w:hAnsi="Times New Roman"/>
          <w:b w:val="1"/>
          <w:bCs w:val="1"/>
          <w:sz w:val="40"/>
          <w:szCs w:val="40"/>
          <w:rtl w:val="0"/>
          <w:lang w:val="en-US"/>
        </w:rPr>
        <w:t>[On Client</w:t>
      </w:r>
      <w:r>
        <w:rPr>
          <w:rFonts w:ascii="Times New Roman" w:hAnsi="Times New Roman" w:hint="default"/>
          <w:b w:val="1"/>
          <w:bCs w:val="1"/>
          <w:sz w:val="40"/>
          <w:szCs w:val="40"/>
          <w:rtl w:val="1"/>
        </w:rPr>
        <w:t>’</w:t>
      </w:r>
      <w:r>
        <w:rPr>
          <w:rFonts w:ascii="Times New Roman" w:hAnsi="Times New Roman"/>
          <w:b w:val="1"/>
          <w:bCs w:val="1"/>
          <w:sz w:val="40"/>
          <w:szCs w:val="40"/>
          <w:rtl w:val="0"/>
          <w:lang w:val="en-US"/>
        </w:rPr>
        <w:t>s Letterhead]</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de-DE"/>
        </w:rPr>
        <w:t>Date: [Insert Date]</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it-IT"/>
        </w:rPr>
        <w:t>To:</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fr-FR"/>
        </w:rPr>
        <w:t>OGZ Ventures Ltd</w:t>
      </w:r>
      <w:r>
        <w:rPr>
          <w:rFonts w:ascii="Times New Roman" w:cs="Times New Roman" w:hAnsi="Times New Roman" w:eastAsia="Times New Roman"/>
          <w:sz w:val="24"/>
          <w:szCs w:val="24"/>
        </w:rPr>
        <w:br w:type="textWrapping"/>
      </w:r>
      <w:r>
        <w:rPr>
          <w:rFonts w:ascii="Times New Roman" w:hAnsi="Times New Roman"/>
          <w:sz w:val="40"/>
          <w:szCs w:val="40"/>
          <w:rtl w:val="0"/>
        </w:rPr>
        <w:t>399 Bromyard House</w:t>
      </w:r>
      <w:r>
        <w:rPr>
          <w:rFonts w:ascii="Times New Roman" w:cs="Times New Roman" w:hAnsi="Times New Roman" w:eastAsia="Times New Roman"/>
          <w:sz w:val="24"/>
          <w:szCs w:val="24"/>
        </w:rPr>
        <w:br w:type="textWrapping"/>
      </w:r>
      <w:r>
        <w:rPr>
          <w:rFonts w:ascii="Times New Roman" w:hAnsi="Times New Roman"/>
          <w:sz w:val="40"/>
          <w:szCs w:val="40"/>
          <w:rtl w:val="0"/>
        </w:rPr>
        <w:t>Bromyard Avenue</w:t>
      </w:r>
      <w:r>
        <w:rPr>
          <w:rFonts w:ascii="Times New Roman" w:cs="Times New Roman" w:hAnsi="Times New Roman" w:eastAsia="Times New Roman"/>
          <w:sz w:val="24"/>
          <w:szCs w:val="24"/>
        </w:rPr>
        <w:br w:type="textWrapping"/>
      </w:r>
      <w:r>
        <w:rPr>
          <w:rFonts w:ascii="Times New Roman" w:hAnsi="Times New Roman"/>
          <w:sz w:val="40"/>
          <w:szCs w:val="40"/>
          <w:rtl w:val="0"/>
          <w:lang w:val="it-IT"/>
        </w:rPr>
        <w:t>London, W3 7BU</w:t>
      </w:r>
      <w:r>
        <w:rPr>
          <w:rFonts w:ascii="Times New Roman" w:cs="Times New Roman" w:hAnsi="Times New Roman" w:eastAsia="Times New Roman"/>
          <w:sz w:val="24"/>
          <w:szCs w:val="24"/>
        </w:rPr>
        <w:br w:type="textWrapping"/>
      </w:r>
      <w:r>
        <w:rPr>
          <w:rFonts w:ascii="Times New Roman" w:hAnsi="Times New Roman"/>
          <w:sz w:val="40"/>
          <w:szCs w:val="40"/>
          <w:rtl w:val="0"/>
          <w:lang w:val="en-US"/>
        </w:rPr>
        <w:t>United Kingdom</w:t>
      </w:r>
    </w:p>
    <w:p>
      <w:pPr>
        <w:pStyle w:val="Default"/>
        <w:suppressAutoHyphens w:val="1"/>
        <w:spacing w:before="0" w:after="240" w:line="240" w:lineRule="auto"/>
        <w:jc w:val="left"/>
        <w:rPr>
          <w:rFonts w:ascii="Times New Roman" w:cs="Times New Roman" w:hAnsi="Times New Roman" w:eastAsia="Times New Roman"/>
          <w:outline w:val="0"/>
          <w:color w:val="000000"/>
          <w:sz w:val="40"/>
          <w:szCs w:val="40"/>
          <w:u w:val="none" w:color="0000ed"/>
          <w14:textFill>
            <w14:solidFill>
              <w14:srgbClr w14:val="000000"/>
            </w14:solidFill>
          </w14:textFill>
        </w:rPr>
      </w:pPr>
      <w:r>
        <w:rPr>
          <w:rFonts w:ascii="Times New Roman" w:hAnsi="Times New Roman"/>
          <w:outline w:val="0"/>
          <w:color w:val="000000"/>
          <w:sz w:val="40"/>
          <w:szCs w:val="40"/>
          <w:u w:val="none" w:color="0000ed"/>
          <w:rtl w:val="0"/>
          <w14:textFill>
            <w14:solidFill>
              <w14:srgbClr w14:val="000000"/>
            </w14:solidFill>
          </w14:textFill>
        </w:rPr>
        <w:t xml:space="preserve">Email: </w:t>
      </w:r>
      <w:r>
        <w:rPr>
          <w:rStyle w:val="Hyperlink.0"/>
          <w:rFonts w:ascii="Times New Roman" w:cs="Times New Roman" w:hAnsi="Times New Roman" w:eastAsia="Times New Roman"/>
          <w:outline w:val="0"/>
          <w:color w:val="0000ed"/>
          <w:sz w:val="40"/>
          <w:szCs w:val="40"/>
          <w:u w:val="single" w:color="0000ed"/>
          <w14:textFill>
            <w14:solidFill>
              <w14:srgbClr w14:val="0000EE"/>
            </w14:solidFill>
          </w14:textFill>
        </w:rPr>
        <w:fldChar w:fldCharType="begin" w:fldLock="0"/>
      </w:r>
      <w:r>
        <w:rPr>
          <w:rStyle w:val="Hyperlink.0"/>
          <w:rFonts w:ascii="Times New Roman" w:cs="Times New Roman" w:hAnsi="Times New Roman" w:eastAsia="Times New Roman"/>
          <w:outline w:val="0"/>
          <w:color w:val="0000ed"/>
          <w:sz w:val="40"/>
          <w:szCs w:val="40"/>
          <w:u w:val="single" w:color="0000ed"/>
          <w14:textFill>
            <w14:solidFill>
              <w14:srgbClr w14:val="0000EE"/>
            </w14:solidFill>
          </w14:textFill>
        </w:rPr>
        <w:instrText xml:space="preserve"> HYPERLINK "mailto:fogundipe@ogz.com.ng"</w:instrText>
      </w:r>
      <w:r>
        <w:rPr>
          <w:rStyle w:val="Hyperlink.0"/>
          <w:rFonts w:ascii="Times New Roman" w:cs="Times New Roman" w:hAnsi="Times New Roman" w:eastAsia="Times New Roman"/>
          <w:outline w:val="0"/>
          <w:color w:val="0000ed"/>
          <w:sz w:val="40"/>
          <w:szCs w:val="40"/>
          <w:u w:val="single" w:color="0000ed"/>
          <w14:textFill>
            <w14:solidFill>
              <w14:srgbClr w14:val="0000EE"/>
            </w14:solidFill>
          </w14:textFill>
        </w:rPr>
        <w:fldChar w:fldCharType="separate" w:fldLock="0"/>
      </w:r>
      <w:r>
        <w:rPr>
          <w:rStyle w:val="Hyperlink.0"/>
          <w:rFonts w:ascii="Times New Roman" w:hAnsi="Times New Roman"/>
          <w:outline w:val="0"/>
          <w:color w:val="0000ed"/>
          <w:sz w:val="40"/>
          <w:szCs w:val="40"/>
          <w:u w:val="single" w:color="0000ed"/>
          <w:rtl w:val="0"/>
          <w:lang w:val="pt-PT"/>
          <w14:textFill>
            <w14:solidFill>
              <w14:srgbClr w14:val="0000EE"/>
            </w14:solidFill>
          </w14:textFill>
        </w:rPr>
        <w:t>fogundipe@ogz.com.ng</w:t>
      </w:r>
      <w:r>
        <w:rPr>
          <w:rFonts w:ascii="Times New Roman" w:cs="Times New Roman" w:hAnsi="Times New Roman" w:eastAsia="Times New Roman"/>
          <w:outline w:val="0"/>
          <w:color w:val="0000ed"/>
          <w:sz w:val="40"/>
          <w:szCs w:val="40"/>
          <w:u w:val="single" w:color="0000ed"/>
          <w14:textFill>
            <w14:solidFill>
              <w14:srgbClr w14:val="0000EE"/>
            </w14:solidFill>
          </w14:textFill>
        </w:rPr>
        <w:fldChar w:fldCharType="end" w:fldLock="0"/>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80" w:line="240" w:lineRule="auto"/>
        <w:jc w:val="left"/>
        <w:rPr>
          <w:rFonts w:ascii="Times New Roman" w:cs="Times New Roman" w:hAnsi="Times New Roman" w:eastAsia="Times New Roman"/>
          <w:b w:val="1"/>
          <w:bCs w:val="1"/>
          <w:sz w:val="28"/>
          <w:szCs w:val="28"/>
        </w:rPr>
      </w:pPr>
      <w:r>
        <w:rPr>
          <w:rFonts w:ascii="Times New Roman" w:hAnsi="Times New Roman"/>
          <w:b w:val="1"/>
          <w:bCs w:val="1"/>
          <w:sz w:val="42"/>
          <w:szCs w:val="42"/>
          <w:rtl w:val="0"/>
          <w:lang w:val="en-US"/>
        </w:rPr>
        <w:t>Subject: Appointment of OGZ Ventures Ltd as Transaction Advisor, Fundraising Consultant &amp; Commercial Partner</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rPr>
        <w:t>Dear Mr. Ogundipe,</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 xml:space="preserve">We, [Client Company Name] (the </w:t>
      </w:r>
      <w:r>
        <w:rPr>
          <w:rFonts w:ascii="Times New Roman" w:hAnsi="Times New Roman" w:hint="default"/>
          <w:sz w:val="40"/>
          <w:szCs w:val="40"/>
          <w:rtl w:val="1"/>
          <w:lang w:val="ar-SA" w:bidi="ar-SA"/>
        </w:rPr>
        <w:t>“</w:t>
      </w:r>
      <w:r>
        <w:rPr>
          <w:rFonts w:ascii="Times New Roman" w:hAnsi="Times New Roman"/>
          <w:sz w:val="40"/>
          <w:szCs w:val="40"/>
          <w:rtl w:val="0"/>
        </w:rPr>
        <w:t>Client</w:t>
      </w:r>
      <w:r>
        <w:rPr>
          <w:rFonts w:ascii="Times New Roman" w:hAnsi="Times New Roman" w:hint="default"/>
          <w:sz w:val="40"/>
          <w:szCs w:val="40"/>
          <w:rtl w:val="0"/>
        </w:rPr>
        <w:t>”</w:t>
      </w:r>
      <w:r>
        <w:rPr>
          <w:rFonts w:ascii="Times New Roman" w:hAnsi="Times New Roman"/>
          <w:sz w:val="40"/>
          <w:szCs w:val="40"/>
          <w:rtl w:val="0"/>
          <w:lang w:val="en-US"/>
        </w:rPr>
        <w:t>), hereby formally appoint OGZ Ventures Ltd (</w:t>
      </w:r>
      <w:r>
        <w:rPr>
          <w:rFonts w:ascii="Times New Roman" w:hAnsi="Times New Roman" w:hint="default"/>
          <w:sz w:val="40"/>
          <w:szCs w:val="40"/>
          <w:rtl w:val="1"/>
          <w:lang w:val="ar-SA" w:bidi="ar-SA"/>
        </w:rPr>
        <w:t>“</w:t>
      </w:r>
      <w:r>
        <w:rPr>
          <w:rFonts w:ascii="Times New Roman" w:hAnsi="Times New Roman"/>
          <w:sz w:val="40"/>
          <w:szCs w:val="40"/>
          <w:rtl w:val="0"/>
        </w:rPr>
        <w:t>OGZ</w:t>
      </w:r>
      <w:r>
        <w:rPr>
          <w:rFonts w:ascii="Times New Roman" w:hAnsi="Times New Roman" w:hint="default"/>
          <w:sz w:val="40"/>
          <w:szCs w:val="40"/>
          <w:rtl w:val="0"/>
        </w:rPr>
        <w:t>”</w:t>
      </w:r>
      <w:r>
        <w:rPr>
          <w:rFonts w:ascii="Times New Roman" w:hAnsi="Times New Roman"/>
          <w:sz w:val="40"/>
          <w:szCs w:val="40"/>
          <w:rtl w:val="0"/>
          <w:lang w:val="en-US"/>
        </w:rPr>
        <w:t>) to act as our Transaction Advisor, Fundraising Consultant, and Commercial Strategy Partner in connection with The Mayfield Residence and any related projects, transactions, or opportunities introduced during the course of this engagement.</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98" w:line="240" w:lineRule="auto"/>
        <w:jc w:val="left"/>
        <w:rPr>
          <w:rFonts w:ascii="Times New Roman" w:cs="Times New Roman" w:hAnsi="Times New Roman" w:eastAsia="Times New Roman"/>
          <w:b w:val="1"/>
          <w:bCs w:val="1"/>
          <w:sz w:val="36"/>
          <w:szCs w:val="36"/>
        </w:rPr>
      </w:pPr>
      <w:r>
        <w:rPr>
          <w:rFonts w:ascii="Times New Roman" w:hAnsi="Times New Roman"/>
          <w:b w:val="1"/>
          <w:bCs w:val="1"/>
          <w:sz w:val="48"/>
          <w:szCs w:val="48"/>
          <w:rtl w:val="0"/>
          <w:lang w:val="en-US"/>
        </w:rPr>
        <w:t>Scope of Engagement</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OGZ shall provide advisory and facilitation services including, but not limited to:</w:t>
      </w:r>
    </w:p>
    <w:p>
      <w:pPr>
        <w:pStyle w:val="Default"/>
        <w:suppressAutoHyphens w:val="1"/>
        <w:spacing w:before="0" w:after="280" w:line="240" w:lineRule="auto"/>
        <w:jc w:val="left"/>
        <w:rPr>
          <w:rFonts w:ascii="Times New Roman" w:cs="Times New Roman" w:hAnsi="Times New Roman" w:eastAsia="Times New Roman"/>
          <w:b w:val="1"/>
          <w:bCs w:val="1"/>
          <w:sz w:val="28"/>
          <w:szCs w:val="28"/>
        </w:rPr>
      </w:pPr>
      <w:r>
        <w:rPr>
          <w:rFonts w:ascii="Times New Roman" w:hAnsi="Times New Roman"/>
          <w:b w:val="1"/>
          <w:bCs w:val="1"/>
          <w:sz w:val="42"/>
          <w:szCs w:val="42"/>
          <w:rtl w:val="0"/>
          <w:lang w:val="en-US"/>
        </w:rPr>
        <w:t>Transaction Advisory &amp; Fundraising</w:t>
      </w:r>
    </w:p>
    <w:p>
      <w:pPr>
        <w:pStyle w:val="Default"/>
        <w:numPr>
          <w:ilvl w:val="0"/>
          <w:numId w:val="2"/>
        </w:numPr>
        <w:suppressAutoHyphens w:val="1"/>
        <w:spacing w:before="0" w:line="240" w:lineRule="auto"/>
        <w:jc w:val="left"/>
        <w:rPr>
          <w:rFonts w:ascii="Times New Roman" w:hAnsi="Times New Roman"/>
          <w:sz w:val="40"/>
          <w:szCs w:val="40"/>
          <w:lang w:val="en-US"/>
        </w:rPr>
      </w:pPr>
      <w:r>
        <w:rPr>
          <w:rFonts w:ascii="Times New Roman" w:hAnsi="Times New Roman"/>
          <w:sz w:val="40"/>
          <w:szCs w:val="40"/>
          <w:rtl w:val="0"/>
          <w:lang w:val="en-US"/>
        </w:rPr>
        <w:t>Identification and introduction of credible investors, lenders, or funding partners</w:t>
      </w:r>
    </w:p>
    <w:p>
      <w:pPr>
        <w:pStyle w:val="Default"/>
        <w:numPr>
          <w:ilvl w:val="0"/>
          <w:numId w:val="2"/>
        </w:numPr>
        <w:suppressAutoHyphens w:val="1"/>
        <w:spacing w:before="0" w:line="240" w:lineRule="auto"/>
        <w:jc w:val="left"/>
        <w:rPr>
          <w:rFonts w:ascii="Times New Roman" w:hAnsi="Times New Roman"/>
          <w:sz w:val="40"/>
          <w:szCs w:val="40"/>
          <w:lang w:val="en-US"/>
        </w:rPr>
      </w:pPr>
      <w:r>
        <w:rPr>
          <w:rFonts w:ascii="Times New Roman" w:hAnsi="Times New Roman"/>
          <w:sz w:val="40"/>
          <w:szCs w:val="40"/>
          <w:rtl w:val="0"/>
          <w:lang w:val="en-US"/>
        </w:rPr>
        <w:t>Structuring of appropriate financing solutions (debt, equity, or hybrid)</w:t>
      </w:r>
    </w:p>
    <w:p>
      <w:pPr>
        <w:pStyle w:val="Default"/>
        <w:numPr>
          <w:ilvl w:val="0"/>
          <w:numId w:val="2"/>
        </w:numPr>
        <w:suppressAutoHyphens w:val="1"/>
        <w:spacing w:before="0" w:line="240" w:lineRule="auto"/>
        <w:jc w:val="left"/>
        <w:rPr>
          <w:rFonts w:ascii="Times New Roman" w:hAnsi="Times New Roman"/>
          <w:sz w:val="40"/>
          <w:szCs w:val="40"/>
          <w:lang w:val="en-US"/>
        </w:rPr>
      </w:pPr>
      <w:r>
        <w:rPr>
          <w:rFonts w:ascii="Times New Roman" w:hAnsi="Times New Roman"/>
          <w:sz w:val="40"/>
          <w:szCs w:val="40"/>
          <w:rtl w:val="0"/>
          <w:lang w:val="en-US"/>
        </w:rPr>
        <w:t>Preparation, refinement, and positioning of investment materials</w:t>
      </w:r>
    </w:p>
    <w:p>
      <w:pPr>
        <w:pStyle w:val="Default"/>
        <w:numPr>
          <w:ilvl w:val="0"/>
          <w:numId w:val="2"/>
        </w:numPr>
        <w:suppressAutoHyphens w:val="1"/>
        <w:spacing w:before="0" w:line="240" w:lineRule="auto"/>
        <w:jc w:val="left"/>
        <w:rPr>
          <w:rFonts w:ascii="Times New Roman" w:hAnsi="Times New Roman"/>
          <w:sz w:val="40"/>
          <w:szCs w:val="40"/>
          <w:lang w:val="en-US"/>
        </w:rPr>
      </w:pPr>
      <w:r>
        <w:rPr>
          <w:rFonts w:ascii="Times New Roman" w:hAnsi="Times New Roman"/>
          <w:sz w:val="40"/>
          <w:szCs w:val="40"/>
          <w:rtl w:val="0"/>
          <w:lang w:val="en-US"/>
        </w:rPr>
        <w:t>Coordination of investor engagement, negotiations, and due diligence through to financial close</w:t>
      </w:r>
    </w:p>
    <w:p>
      <w:pPr>
        <w:pStyle w:val="Default"/>
        <w:suppressAutoHyphens w:val="1"/>
        <w:spacing w:before="0" w:after="280" w:line="240" w:lineRule="auto"/>
        <w:jc w:val="left"/>
        <w:rPr>
          <w:rFonts w:ascii="Times New Roman" w:cs="Times New Roman" w:hAnsi="Times New Roman" w:eastAsia="Times New Roman"/>
          <w:b w:val="1"/>
          <w:bCs w:val="1"/>
          <w:sz w:val="28"/>
          <w:szCs w:val="28"/>
        </w:rPr>
      </w:pPr>
      <w:r>
        <w:rPr>
          <w:rFonts w:ascii="Times New Roman" w:hAnsi="Times New Roman"/>
          <w:b w:val="1"/>
          <w:bCs w:val="1"/>
          <w:sz w:val="42"/>
          <w:szCs w:val="42"/>
          <w:rtl w:val="0"/>
          <w:lang w:val="en-US"/>
        </w:rPr>
        <w:t>Commercial Strategy &amp; Business Development</w:t>
      </w:r>
    </w:p>
    <w:p>
      <w:pPr>
        <w:pStyle w:val="Default"/>
        <w:numPr>
          <w:ilvl w:val="0"/>
          <w:numId w:val="2"/>
        </w:numPr>
        <w:suppressAutoHyphens w:val="1"/>
        <w:spacing w:before="0" w:line="240" w:lineRule="auto"/>
        <w:jc w:val="left"/>
        <w:rPr>
          <w:rFonts w:ascii="Times New Roman" w:hAnsi="Times New Roman"/>
          <w:sz w:val="40"/>
          <w:szCs w:val="40"/>
          <w:lang w:val="en-US"/>
        </w:rPr>
      </w:pPr>
      <w:r>
        <w:rPr>
          <w:rFonts w:ascii="Times New Roman" w:hAnsi="Times New Roman"/>
          <w:sz w:val="40"/>
          <w:szCs w:val="40"/>
          <w:rtl w:val="0"/>
          <w:lang w:val="en-US"/>
        </w:rPr>
        <w:t>Identification and introduction of high-value clients, corporate partners, and strategic relationships</w:t>
      </w:r>
    </w:p>
    <w:p>
      <w:pPr>
        <w:pStyle w:val="Default"/>
        <w:numPr>
          <w:ilvl w:val="0"/>
          <w:numId w:val="2"/>
        </w:numPr>
        <w:suppressAutoHyphens w:val="1"/>
        <w:spacing w:before="0" w:line="240" w:lineRule="auto"/>
        <w:jc w:val="left"/>
        <w:rPr>
          <w:rFonts w:ascii="Times New Roman" w:hAnsi="Times New Roman"/>
          <w:sz w:val="40"/>
          <w:szCs w:val="40"/>
          <w:lang w:val="en-US"/>
        </w:rPr>
      </w:pPr>
      <w:r>
        <w:rPr>
          <w:rFonts w:ascii="Times New Roman" w:hAnsi="Times New Roman"/>
          <w:sz w:val="40"/>
          <w:szCs w:val="40"/>
          <w:rtl w:val="0"/>
          <w:lang w:val="en-US"/>
        </w:rPr>
        <w:t>Structuring and securing corporate retainers, long-stay agreements, and premium occupancy arrangements</w:t>
      </w:r>
    </w:p>
    <w:p>
      <w:pPr>
        <w:pStyle w:val="Default"/>
        <w:numPr>
          <w:ilvl w:val="0"/>
          <w:numId w:val="2"/>
        </w:numPr>
        <w:suppressAutoHyphens w:val="1"/>
        <w:spacing w:before="0" w:line="240" w:lineRule="auto"/>
        <w:jc w:val="left"/>
        <w:rPr>
          <w:rFonts w:ascii="Times New Roman" w:hAnsi="Times New Roman"/>
          <w:sz w:val="40"/>
          <w:szCs w:val="40"/>
          <w:lang w:val="en-US"/>
        </w:rPr>
      </w:pPr>
      <w:r>
        <w:rPr>
          <w:rFonts w:ascii="Times New Roman" w:hAnsi="Times New Roman"/>
          <w:sz w:val="40"/>
          <w:szCs w:val="40"/>
          <w:rtl w:val="0"/>
          <w:lang w:val="en-US"/>
        </w:rPr>
        <w:t>Advising on pricing strategy, positioning, and commercial optimisation</w:t>
      </w:r>
    </w:p>
    <w:p>
      <w:pPr>
        <w:pStyle w:val="Default"/>
        <w:numPr>
          <w:ilvl w:val="0"/>
          <w:numId w:val="2"/>
        </w:numPr>
        <w:suppressAutoHyphens w:val="1"/>
        <w:spacing w:before="0" w:line="240" w:lineRule="auto"/>
        <w:jc w:val="left"/>
        <w:rPr>
          <w:rFonts w:ascii="Times New Roman" w:hAnsi="Times New Roman"/>
          <w:sz w:val="40"/>
          <w:szCs w:val="40"/>
          <w:lang w:val="en-US"/>
        </w:rPr>
      </w:pPr>
      <w:r>
        <w:rPr>
          <w:rFonts w:ascii="Times New Roman" w:hAnsi="Times New Roman"/>
          <w:sz w:val="40"/>
          <w:szCs w:val="40"/>
          <w:rtl w:val="0"/>
          <w:lang w:val="en-US"/>
        </w:rPr>
        <w:t>Facilitating partnerships that enhance revenue generation and overall asset value</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OGZ shall act as an independent advisor and facilitator and shall not be responsible for the operational execution of the Client</w:t>
      </w:r>
      <w:r>
        <w:rPr>
          <w:rFonts w:ascii="Times New Roman" w:hAnsi="Times New Roman" w:hint="default"/>
          <w:sz w:val="40"/>
          <w:szCs w:val="40"/>
          <w:rtl w:val="1"/>
        </w:rPr>
        <w:t>’</w:t>
      </w:r>
      <w:r>
        <w:rPr>
          <w:rFonts w:ascii="Times New Roman" w:hAnsi="Times New Roman"/>
          <w:sz w:val="40"/>
          <w:szCs w:val="40"/>
          <w:rtl w:val="0"/>
          <w:lang w:val="en-US"/>
        </w:rPr>
        <w:t>s business.</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98" w:line="240" w:lineRule="auto"/>
        <w:jc w:val="left"/>
        <w:rPr>
          <w:rFonts w:ascii="Times New Roman" w:cs="Times New Roman" w:hAnsi="Times New Roman" w:eastAsia="Times New Roman"/>
          <w:b w:val="1"/>
          <w:bCs w:val="1"/>
          <w:sz w:val="36"/>
          <w:szCs w:val="36"/>
        </w:rPr>
      </w:pPr>
      <w:r>
        <w:rPr>
          <w:rFonts w:ascii="Times New Roman" w:hAnsi="Times New Roman"/>
          <w:b w:val="1"/>
          <w:bCs w:val="1"/>
          <w:sz w:val="48"/>
          <w:szCs w:val="48"/>
          <w:rtl w:val="0"/>
          <w:lang w:val="en-US"/>
        </w:rPr>
        <w:t>Fees and Commercial Terms</w:t>
      </w:r>
    </w:p>
    <w:p>
      <w:pPr>
        <w:pStyle w:val="Default"/>
        <w:suppressAutoHyphens w:val="1"/>
        <w:spacing w:before="0" w:after="280" w:line="240" w:lineRule="auto"/>
        <w:jc w:val="left"/>
        <w:rPr>
          <w:rFonts w:ascii="Times New Roman" w:cs="Times New Roman" w:hAnsi="Times New Roman" w:eastAsia="Times New Roman"/>
          <w:b w:val="1"/>
          <w:bCs w:val="1"/>
          <w:sz w:val="28"/>
          <w:szCs w:val="28"/>
        </w:rPr>
      </w:pPr>
      <w:r>
        <w:rPr>
          <w:rFonts w:ascii="Times New Roman" w:hAnsi="Times New Roman"/>
          <w:b w:val="1"/>
          <w:bCs w:val="1"/>
          <w:sz w:val="42"/>
          <w:szCs w:val="42"/>
          <w:rtl w:val="0"/>
          <w:lang w:val="en-US"/>
        </w:rPr>
        <w:t>Initial Retainer (First 90 Days)</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 xml:space="preserve">The Client shall pay OGZ a non-refundable retainer fee of </w:t>
      </w:r>
      <w:r>
        <w:rPr>
          <w:rFonts w:ascii="Times New Roman" w:hAnsi="Times New Roman"/>
          <w:b w:val="1"/>
          <w:bCs w:val="1"/>
          <w:sz w:val="40"/>
          <w:szCs w:val="40"/>
          <w:rtl w:val="0"/>
          <w:lang w:val="en-US"/>
        </w:rPr>
        <w:t>USD 10,000</w:t>
      </w:r>
      <w:r>
        <w:rPr>
          <w:rFonts w:ascii="Times New Roman" w:hAnsi="Times New Roman"/>
          <w:sz w:val="40"/>
          <w:szCs w:val="40"/>
          <w:rtl w:val="0"/>
          <w:lang w:val="en-US"/>
        </w:rPr>
        <w:t xml:space="preserve"> upon execution of this letter.</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This retainer covers the initial 90-day engagement period and shall be deductible from OGZ</w:t>
      </w:r>
      <w:r>
        <w:rPr>
          <w:rFonts w:ascii="Times New Roman" w:hAnsi="Times New Roman" w:hint="default"/>
          <w:sz w:val="40"/>
          <w:szCs w:val="40"/>
          <w:rtl w:val="1"/>
        </w:rPr>
        <w:t>’</w:t>
      </w:r>
      <w:r>
        <w:rPr>
          <w:rFonts w:ascii="Times New Roman" w:hAnsi="Times New Roman"/>
          <w:sz w:val="40"/>
          <w:szCs w:val="40"/>
          <w:rtl w:val="0"/>
          <w:lang w:val="en-US"/>
        </w:rPr>
        <w:t>s success fee upon financial close.</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80" w:line="240" w:lineRule="auto"/>
        <w:jc w:val="left"/>
        <w:rPr>
          <w:rFonts w:ascii="Times New Roman" w:cs="Times New Roman" w:hAnsi="Times New Roman" w:eastAsia="Times New Roman"/>
          <w:b w:val="1"/>
          <w:bCs w:val="1"/>
          <w:sz w:val="28"/>
          <w:szCs w:val="28"/>
        </w:rPr>
      </w:pPr>
      <w:r>
        <w:rPr>
          <w:rFonts w:ascii="Times New Roman" w:hAnsi="Times New Roman"/>
          <w:b w:val="1"/>
          <w:bCs w:val="1"/>
          <w:sz w:val="42"/>
          <w:szCs w:val="42"/>
          <w:rtl w:val="0"/>
          <w:lang w:val="en-US"/>
        </w:rPr>
        <w:t>Ongoing Retainer (Post 90 Days)</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Following the initial 90-day period, and subject to the Client</w:t>
      </w:r>
      <w:r>
        <w:rPr>
          <w:rFonts w:ascii="Times New Roman" w:hAnsi="Times New Roman" w:hint="default"/>
          <w:sz w:val="40"/>
          <w:szCs w:val="40"/>
          <w:rtl w:val="1"/>
        </w:rPr>
        <w:t>’</w:t>
      </w:r>
      <w:r>
        <w:rPr>
          <w:rFonts w:ascii="Times New Roman" w:hAnsi="Times New Roman"/>
          <w:sz w:val="40"/>
          <w:szCs w:val="40"/>
          <w:rtl w:val="0"/>
          <w:lang w:val="en-US"/>
        </w:rPr>
        <w:t>s satisfaction with OGZ</w:t>
      </w:r>
      <w:r>
        <w:rPr>
          <w:rFonts w:ascii="Times New Roman" w:hAnsi="Times New Roman" w:hint="default"/>
          <w:sz w:val="40"/>
          <w:szCs w:val="40"/>
          <w:rtl w:val="1"/>
        </w:rPr>
        <w:t>’</w:t>
      </w:r>
      <w:r>
        <w:rPr>
          <w:rFonts w:ascii="Times New Roman" w:hAnsi="Times New Roman"/>
          <w:sz w:val="40"/>
          <w:szCs w:val="40"/>
          <w:rtl w:val="0"/>
          <w:lang w:val="en-US"/>
        </w:rPr>
        <w:t xml:space="preserve">s services, this engagement shall continue on a monthly retainer of </w:t>
      </w:r>
      <w:r>
        <w:rPr>
          <w:rFonts w:ascii="Times New Roman" w:hAnsi="Times New Roman"/>
          <w:b w:val="1"/>
          <w:bCs w:val="1"/>
          <w:sz w:val="40"/>
          <w:szCs w:val="40"/>
          <w:rtl w:val="0"/>
          <w:lang w:val="en-US"/>
        </w:rPr>
        <w:t>USD 10,000</w:t>
      </w:r>
      <w:r>
        <w:rPr>
          <w:rFonts w:ascii="Times New Roman" w:hAnsi="Times New Roman"/>
          <w:sz w:val="40"/>
          <w:szCs w:val="40"/>
          <w:rtl w:val="0"/>
          <w:lang w:val="en-US"/>
        </w:rPr>
        <w:t>, payable in advance, for continued advisory, fundraising, and commercial development services.</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80" w:line="240" w:lineRule="auto"/>
        <w:jc w:val="left"/>
        <w:rPr>
          <w:rFonts w:ascii="Times New Roman" w:cs="Times New Roman" w:hAnsi="Times New Roman" w:eastAsia="Times New Roman"/>
          <w:b w:val="1"/>
          <w:bCs w:val="1"/>
          <w:sz w:val="28"/>
          <w:szCs w:val="28"/>
        </w:rPr>
      </w:pPr>
      <w:r>
        <w:rPr>
          <w:rFonts w:ascii="Times New Roman" w:hAnsi="Times New Roman"/>
          <w:b w:val="1"/>
          <w:bCs w:val="1"/>
          <w:sz w:val="42"/>
          <w:szCs w:val="42"/>
          <w:rtl w:val="0"/>
          <w:lang w:val="en-US"/>
        </w:rPr>
        <w:t>Success Fee (Fundraising)</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OGZ shall be entitled to:</w:t>
      </w:r>
    </w:p>
    <w:p>
      <w:pPr>
        <w:pStyle w:val="Default"/>
        <w:numPr>
          <w:ilvl w:val="0"/>
          <w:numId w:val="3"/>
        </w:numPr>
        <w:suppressAutoHyphens w:val="1"/>
        <w:spacing w:before="0" w:line="240" w:lineRule="auto"/>
        <w:jc w:val="left"/>
        <w:rPr>
          <w:rFonts w:ascii="Times New Roman" w:hAnsi="Times New Roman"/>
          <w:sz w:val="40"/>
          <w:szCs w:val="40"/>
        </w:rPr>
      </w:pPr>
      <w:r>
        <w:rPr>
          <w:rFonts w:ascii="Times New Roman" w:hAnsi="Times New Roman"/>
          <w:b w:val="1"/>
          <w:bCs w:val="1"/>
          <w:sz w:val="40"/>
          <w:szCs w:val="40"/>
          <w:rtl w:val="0"/>
        </w:rPr>
        <w:t>10%</w:t>
      </w:r>
      <w:r>
        <w:rPr>
          <w:rFonts w:ascii="Times New Roman" w:hAnsi="Times New Roman"/>
          <w:sz w:val="40"/>
          <w:szCs w:val="40"/>
          <w:rtl w:val="0"/>
          <w:lang w:val="en-US"/>
        </w:rPr>
        <w:t xml:space="preserve"> of funds raised up to USD 5,000,000</w:t>
      </w:r>
    </w:p>
    <w:p>
      <w:pPr>
        <w:pStyle w:val="Default"/>
        <w:numPr>
          <w:ilvl w:val="0"/>
          <w:numId w:val="3"/>
        </w:numPr>
        <w:suppressAutoHyphens w:val="1"/>
        <w:spacing w:before="0" w:line="240" w:lineRule="auto"/>
        <w:jc w:val="left"/>
        <w:rPr>
          <w:rFonts w:ascii="Times New Roman" w:hAnsi="Times New Roman"/>
          <w:sz w:val="40"/>
          <w:szCs w:val="40"/>
        </w:rPr>
      </w:pPr>
      <w:r>
        <w:rPr>
          <w:rFonts w:ascii="Times New Roman" w:hAnsi="Times New Roman"/>
          <w:b w:val="1"/>
          <w:bCs w:val="1"/>
          <w:sz w:val="40"/>
          <w:szCs w:val="40"/>
          <w:rtl w:val="0"/>
        </w:rPr>
        <w:t>5%</w:t>
      </w:r>
      <w:r>
        <w:rPr>
          <w:rFonts w:ascii="Times New Roman" w:hAnsi="Times New Roman"/>
          <w:sz w:val="40"/>
          <w:szCs w:val="40"/>
          <w:rtl w:val="0"/>
          <w:lang w:val="en-US"/>
        </w:rPr>
        <w:t xml:space="preserve"> of funds raised above USD 5,000,000</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Such fees shall be payable upon first drawdown, disbursement, or receipt of funds by the Client.</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80" w:line="240" w:lineRule="auto"/>
        <w:jc w:val="left"/>
        <w:rPr>
          <w:rFonts w:ascii="Times New Roman" w:cs="Times New Roman" w:hAnsi="Times New Roman" w:eastAsia="Times New Roman"/>
          <w:b w:val="1"/>
          <w:bCs w:val="1"/>
          <w:sz w:val="28"/>
          <w:szCs w:val="28"/>
        </w:rPr>
      </w:pPr>
      <w:r>
        <w:rPr>
          <w:rFonts w:ascii="Times New Roman" w:hAnsi="Times New Roman"/>
          <w:b w:val="1"/>
          <w:bCs w:val="1"/>
          <w:sz w:val="42"/>
          <w:szCs w:val="42"/>
          <w:rtl w:val="0"/>
          <w:lang w:val="en-US"/>
        </w:rPr>
        <w:t>Commercial / Transaction Fees</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OGZ shall be entitled to commissions on all business, clients, partnerships, bookings, or commercial arrangements introduced or facilitated by OGZ, including any renewals, extensions, or repeat engagements arising from such introductions.</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The applicable commercial terms shall be agreed on a case-by-case basis depending on the nature of the transaction.</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80" w:line="240" w:lineRule="auto"/>
        <w:jc w:val="left"/>
        <w:rPr>
          <w:rFonts w:ascii="Times New Roman" w:cs="Times New Roman" w:hAnsi="Times New Roman" w:eastAsia="Times New Roman"/>
          <w:b w:val="1"/>
          <w:bCs w:val="1"/>
          <w:sz w:val="28"/>
          <w:szCs w:val="28"/>
        </w:rPr>
      </w:pPr>
      <w:r>
        <w:rPr>
          <w:rFonts w:ascii="Times New Roman" w:hAnsi="Times New Roman"/>
          <w:b w:val="1"/>
          <w:bCs w:val="1"/>
          <w:sz w:val="42"/>
          <w:szCs w:val="42"/>
          <w:rtl w:val="0"/>
          <w:lang w:val="fr-FR"/>
        </w:rPr>
        <w:t>Expenses</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The Client shall reimburse all reasonable out-of-pocket expenses incurred by OGZ in the performance of its duties, subject to presentation of supporting documentation.</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98" w:line="240" w:lineRule="auto"/>
        <w:jc w:val="left"/>
        <w:rPr>
          <w:rFonts w:ascii="Times New Roman" w:cs="Times New Roman" w:hAnsi="Times New Roman" w:eastAsia="Times New Roman"/>
          <w:b w:val="1"/>
          <w:bCs w:val="1"/>
          <w:sz w:val="36"/>
          <w:szCs w:val="36"/>
        </w:rPr>
      </w:pPr>
      <w:r>
        <w:rPr>
          <w:rFonts w:ascii="Times New Roman" w:hAnsi="Times New Roman"/>
          <w:b w:val="1"/>
          <w:bCs w:val="1"/>
          <w:sz w:val="48"/>
          <w:szCs w:val="48"/>
          <w:rtl w:val="0"/>
          <w:lang w:val="en-US"/>
        </w:rPr>
        <w:t>Escrow &amp; Payment Protection</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To ensure transparency and proper settlement of fees:</w:t>
      </w:r>
    </w:p>
    <w:p>
      <w:pPr>
        <w:pStyle w:val="Default"/>
        <w:suppressAutoHyphens w:val="1"/>
        <w:spacing w:before="0" w:after="280" w:line="240" w:lineRule="auto"/>
        <w:jc w:val="left"/>
        <w:rPr>
          <w:rFonts w:ascii="Times New Roman" w:cs="Times New Roman" w:hAnsi="Times New Roman" w:eastAsia="Times New Roman"/>
          <w:b w:val="1"/>
          <w:bCs w:val="1"/>
          <w:sz w:val="28"/>
          <w:szCs w:val="28"/>
        </w:rPr>
      </w:pPr>
      <w:r>
        <w:rPr>
          <w:rFonts w:ascii="Times New Roman" w:hAnsi="Times New Roman"/>
          <w:b w:val="1"/>
          <w:bCs w:val="1"/>
          <w:sz w:val="42"/>
          <w:szCs w:val="42"/>
          <w:rtl w:val="0"/>
          <w:lang w:val="en-US"/>
        </w:rPr>
        <w:t>Fundraising Transactions</w:t>
      </w:r>
    </w:p>
    <w:p>
      <w:pPr>
        <w:pStyle w:val="Default"/>
        <w:numPr>
          <w:ilvl w:val="0"/>
          <w:numId w:val="2"/>
        </w:numPr>
        <w:suppressAutoHyphens w:val="1"/>
        <w:spacing w:before="0" w:line="240" w:lineRule="auto"/>
        <w:jc w:val="left"/>
        <w:rPr>
          <w:rFonts w:ascii="Times New Roman" w:hAnsi="Times New Roman"/>
          <w:sz w:val="40"/>
          <w:szCs w:val="40"/>
          <w:lang w:val="en-US"/>
        </w:rPr>
      </w:pPr>
      <w:r>
        <w:rPr>
          <w:rFonts w:ascii="Times New Roman" w:hAnsi="Times New Roman"/>
          <w:sz w:val="40"/>
          <w:szCs w:val="40"/>
          <w:rtl w:val="0"/>
          <w:lang w:val="en-US"/>
        </w:rPr>
        <w:t>All capital raised may be routed through an agreed escrow account or controlled payment structure.</w:t>
      </w:r>
    </w:p>
    <w:p>
      <w:pPr>
        <w:pStyle w:val="Default"/>
        <w:numPr>
          <w:ilvl w:val="0"/>
          <w:numId w:val="2"/>
        </w:numPr>
        <w:suppressAutoHyphens w:val="1"/>
        <w:spacing w:before="0" w:line="240" w:lineRule="auto"/>
        <w:jc w:val="left"/>
        <w:rPr>
          <w:rFonts w:ascii="Times New Roman" w:hAnsi="Times New Roman"/>
          <w:sz w:val="40"/>
          <w:szCs w:val="40"/>
        </w:rPr>
      </w:pPr>
      <w:r>
        <w:rPr>
          <w:rFonts w:ascii="Times New Roman" w:hAnsi="Times New Roman"/>
          <w:sz w:val="40"/>
          <w:szCs w:val="40"/>
          <w:rtl w:val="0"/>
        </w:rPr>
        <w:t>OGZ</w:t>
      </w:r>
      <w:r>
        <w:rPr>
          <w:rFonts w:ascii="Times New Roman" w:hAnsi="Times New Roman" w:hint="default"/>
          <w:sz w:val="40"/>
          <w:szCs w:val="40"/>
          <w:rtl w:val="1"/>
        </w:rPr>
        <w:t>’</w:t>
      </w:r>
      <w:r>
        <w:rPr>
          <w:rFonts w:ascii="Times New Roman" w:hAnsi="Times New Roman"/>
          <w:sz w:val="40"/>
          <w:szCs w:val="40"/>
          <w:rtl w:val="0"/>
          <w:lang w:val="en-US"/>
        </w:rPr>
        <w:t>s success fee shall be deducted directly at source upon disbursement or drawdown.</w:t>
      </w:r>
    </w:p>
    <w:p>
      <w:pPr>
        <w:pStyle w:val="Default"/>
        <w:numPr>
          <w:ilvl w:val="0"/>
          <w:numId w:val="2"/>
        </w:numPr>
        <w:suppressAutoHyphens w:val="1"/>
        <w:spacing w:before="0" w:line="240" w:lineRule="auto"/>
        <w:jc w:val="left"/>
        <w:rPr>
          <w:rFonts w:ascii="Times New Roman" w:hAnsi="Times New Roman"/>
          <w:sz w:val="40"/>
          <w:szCs w:val="40"/>
          <w:lang w:val="en-US"/>
        </w:rPr>
      </w:pPr>
      <w:r>
        <w:rPr>
          <w:rFonts w:ascii="Times New Roman" w:hAnsi="Times New Roman"/>
          <w:sz w:val="40"/>
          <w:szCs w:val="40"/>
          <w:rtl w:val="0"/>
          <w:lang w:val="en-US"/>
        </w:rPr>
        <w:t>The Client hereby irrevocably authorises such deduction.</w:t>
      </w:r>
    </w:p>
    <w:p>
      <w:pPr>
        <w:pStyle w:val="Default"/>
        <w:suppressAutoHyphens w:val="1"/>
        <w:spacing w:before="0" w:after="280" w:line="240" w:lineRule="auto"/>
        <w:jc w:val="left"/>
        <w:rPr>
          <w:rFonts w:ascii="Times New Roman" w:cs="Times New Roman" w:hAnsi="Times New Roman" w:eastAsia="Times New Roman"/>
          <w:b w:val="1"/>
          <w:bCs w:val="1"/>
          <w:sz w:val="28"/>
          <w:szCs w:val="28"/>
        </w:rPr>
      </w:pPr>
      <w:r>
        <w:rPr>
          <w:rFonts w:ascii="Times New Roman" w:hAnsi="Times New Roman"/>
          <w:b w:val="1"/>
          <w:bCs w:val="1"/>
          <w:sz w:val="42"/>
          <w:szCs w:val="42"/>
          <w:rtl w:val="0"/>
          <w:lang w:val="fr-FR"/>
        </w:rPr>
        <w:t>Commercial Transactions</w:t>
      </w:r>
    </w:p>
    <w:p>
      <w:pPr>
        <w:pStyle w:val="Default"/>
        <w:numPr>
          <w:ilvl w:val="0"/>
          <w:numId w:val="2"/>
        </w:numPr>
        <w:suppressAutoHyphens w:val="1"/>
        <w:spacing w:before="0" w:line="240" w:lineRule="auto"/>
        <w:jc w:val="left"/>
        <w:rPr>
          <w:rFonts w:ascii="Times New Roman" w:hAnsi="Times New Roman"/>
          <w:sz w:val="40"/>
          <w:szCs w:val="40"/>
          <w:lang w:val="en-US"/>
        </w:rPr>
      </w:pPr>
      <w:r>
        <w:rPr>
          <w:rFonts w:ascii="Times New Roman" w:hAnsi="Times New Roman"/>
          <w:sz w:val="40"/>
          <w:szCs w:val="40"/>
          <w:rtl w:val="0"/>
          <w:lang w:val="en-US"/>
        </w:rPr>
        <w:t>Revenues arising from OGZ-introduced clients or partners may be subject to a direct payment or split structure to ensure OGZ</w:t>
      </w:r>
      <w:r>
        <w:rPr>
          <w:rFonts w:ascii="Times New Roman" w:hAnsi="Times New Roman" w:hint="default"/>
          <w:sz w:val="40"/>
          <w:szCs w:val="40"/>
          <w:rtl w:val="1"/>
        </w:rPr>
        <w:t>’</w:t>
      </w:r>
      <w:r>
        <w:rPr>
          <w:rFonts w:ascii="Times New Roman" w:hAnsi="Times New Roman"/>
          <w:sz w:val="40"/>
          <w:szCs w:val="40"/>
          <w:rtl w:val="0"/>
          <w:lang w:val="en-US"/>
        </w:rPr>
        <w:t>s commission is settled at source.</w:t>
      </w:r>
    </w:p>
    <w:p>
      <w:pPr>
        <w:pStyle w:val="Default"/>
        <w:suppressAutoHyphens w:val="1"/>
        <w:spacing w:before="0" w:after="280" w:line="240" w:lineRule="auto"/>
        <w:jc w:val="left"/>
        <w:rPr>
          <w:rFonts w:ascii="Times New Roman" w:cs="Times New Roman" w:hAnsi="Times New Roman" w:eastAsia="Times New Roman"/>
          <w:b w:val="1"/>
          <w:bCs w:val="1"/>
          <w:sz w:val="28"/>
          <w:szCs w:val="28"/>
        </w:rPr>
      </w:pPr>
      <w:r>
        <w:rPr>
          <w:rFonts w:ascii="Times New Roman" w:hAnsi="Times New Roman"/>
          <w:b w:val="1"/>
          <w:bCs w:val="1"/>
          <w:sz w:val="42"/>
          <w:szCs w:val="42"/>
          <w:rtl w:val="0"/>
        </w:rPr>
        <w:t>General</w:t>
      </w:r>
    </w:p>
    <w:p>
      <w:pPr>
        <w:pStyle w:val="Default"/>
        <w:numPr>
          <w:ilvl w:val="0"/>
          <w:numId w:val="2"/>
        </w:numPr>
        <w:suppressAutoHyphens w:val="1"/>
        <w:spacing w:before="0" w:line="240" w:lineRule="auto"/>
        <w:jc w:val="left"/>
        <w:rPr>
          <w:rFonts w:ascii="Times New Roman" w:hAnsi="Times New Roman"/>
          <w:sz w:val="40"/>
          <w:szCs w:val="40"/>
          <w:lang w:val="en-US"/>
        </w:rPr>
      </w:pPr>
      <w:r>
        <w:rPr>
          <w:rFonts w:ascii="Times New Roman" w:hAnsi="Times New Roman"/>
          <w:sz w:val="40"/>
          <w:szCs w:val="40"/>
          <w:rtl w:val="0"/>
          <w:lang w:val="en-US"/>
        </w:rPr>
        <w:t>Where funds are received outside an agreed structure, OGZ</w:t>
      </w:r>
      <w:r>
        <w:rPr>
          <w:rFonts w:ascii="Times New Roman" w:hAnsi="Times New Roman" w:hint="default"/>
          <w:sz w:val="40"/>
          <w:szCs w:val="40"/>
          <w:rtl w:val="1"/>
        </w:rPr>
        <w:t>’</w:t>
      </w:r>
      <w:r>
        <w:rPr>
          <w:rFonts w:ascii="Times New Roman" w:hAnsi="Times New Roman"/>
          <w:sz w:val="40"/>
          <w:szCs w:val="40"/>
          <w:rtl w:val="0"/>
          <w:lang w:val="en-US"/>
        </w:rPr>
        <w:t>s fees shall become immediately due and payable upon receipt by the Client.</w:t>
      </w:r>
    </w:p>
    <w:p>
      <w:pPr>
        <w:pStyle w:val="Default"/>
        <w:numPr>
          <w:ilvl w:val="0"/>
          <w:numId w:val="2"/>
        </w:numPr>
        <w:suppressAutoHyphens w:val="1"/>
        <w:spacing w:before="0" w:line="240" w:lineRule="auto"/>
        <w:jc w:val="left"/>
        <w:rPr>
          <w:rFonts w:ascii="Times New Roman" w:hAnsi="Times New Roman"/>
          <w:sz w:val="40"/>
          <w:szCs w:val="40"/>
          <w:lang w:val="en-US"/>
        </w:rPr>
      </w:pPr>
      <w:r>
        <w:rPr>
          <w:rFonts w:ascii="Times New Roman" w:hAnsi="Times New Roman"/>
          <w:sz w:val="40"/>
          <w:szCs w:val="40"/>
          <w:rtl w:val="0"/>
          <w:lang w:val="en-US"/>
        </w:rPr>
        <w:t>The Client shall not enter into any arrangement that circumvents OGZ</w:t>
      </w:r>
      <w:r>
        <w:rPr>
          <w:rFonts w:ascii="Times New Roman" w:hAnsi="Times New Roman" w:hint="default"/>
          <w:sz w:val="40"/>
          <w:szCs w:val="40"/>
          <w:rtl w:val="1"/>
        </w:rPr>
        <w:t>’</w:t>
      </w:r>
      <w:r>
        <w:rPr>
          <w:rFonts w:ascii="Times New Roman" w:hAnsi="Times New Roman"/>
          <w:sz w:val="40"/>
          <w:szCs w:val="40"/>
          <w:rtl w:val="0"/>
          <w:lang w:val="en-US"/>
        </w:rPr>
        <w:t>s entitlement to fees.</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98" w:line="240" w:lineRule="auto"/>
        <w:jc w:val="left"/>
        <w:rPr>
          <w:rFonts w:ascii="Times New Roman" w:cs="Times New Roman" w:hAnsi="Times New Roman" w:eastAsia="Times New Roman"/>
          <w:b w:val="1"/>
          <w:bCs w:val="1"/>
          <w:sz w:val="36"/>
          <w:szCs w:val="36"/>
        </w:rPr>
      </w:pPr>
      <w:r>
        <w:rPr>
          <w:rFonts w:ascii="Times New Roman" w:hAnsi="Times New Roman"/>
          <w:b w:val="1"/>
          <w:bCs w:val="1"/>
          <w:sz w:val="48"/>
          <w:szCs w:val="48"/>
          <w:rtl w:val="0"/>
          <w:lang w:val="fr-FR"/>
        </w:rPr>
        <w:t>Non-Circumvention</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The Client agrees not to circumvent, bypass, or directly engage with any party introduced by OGZ without OGZ</w:t>
      </w:r>
      <w:r>
        <w:rPr>
          <w:rFonts w:ascii="Times New Roman" w:hAnsi="Times New Roman" w:hint="default"/>
          <w:sz w:val="40"/>
          <w:szCs w:val="40"/>
          <w:rtl w:val="1"/>
        </w:rPr>
        <w:t>’</w:t>
      </w:r>
      <w:r>
        <w:rPr>
          <w:rFonts w:ascii="Times New Roman" w:hAnsi="Times New Roman"/>
          <w:sz w:val="40"/>
          <w:szCs w:val="40"/>
          <w:rtl w:val="0"/>
          <w:lang w:val="en-US"/>
        </w:rPr>
        <w:t>s prior written consent.</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In the event of a breach, OGZ shall be entitled to its full fees and commissions as if the transaction had been completed through its involvement.</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98" w:line="240" w:lineRule="auto"/>
        <w:jc w:val="left"/>
        <w:rPr>
          <w:rFonts w:ascii="Times New Roman" w:cs="Times New Roman" w:hAnsi="Times New Roman" w:eastAsia="Times New Roman"/>
          <w:b w:val="1"/>
          <w:bCs w:val="1"/>
          <w:sz w:val="36"/>
          <w:szCs w:val="36"/>
        </w:rPr>
      </w:pPr>
      <w:r>
        <w:rPr>
          <w:rFonts w:ascii="Times New Roman" w:hAnsi="Times New Roman"/>
          <w:b w:val="1"/>
          <w:bCs w:val="1"/>
          <w:sz w:val="48"/>
          <w:szCs w:val="48"/>
          <w:rtl w:val="0"/>
          <w:lang w:val="en-US"/>
        </w:rPr>
        <w:t>Confidentiality</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Both parties agree to maintain strict confidentiality regarding all proprietary and sensitive information exchanged during the course of this engagement.</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98" w:line="240" w:lineRule="auto"/>
        <w:jc w:val="left"/>
        <w:rPr>
          <w:rFonts w:ascii="Times New Roman" w:cs="Times New Roman" w:hAnsi="Times New Roman" w:eastAsia="Times New Roman"/>
          <w:b w:val="1"/>
          <w:bCs w:val="1"/>
          <w:sz w:val="36"/>
          <w:szCs w:val="36"/>
        </w:rPr>
      </w:pPr>
      <w:r>
        <w:rPr>
          <w:rFonts w:ascii="Times New Roman" w:hAnsi="Times New Roman"/>
          <w:b w:val="1"/>
          <w:bCs w:val="1"/>
          <w:sz w:val="48"/>
          <w:szCs w:val="48"/>
          <w:rtl w:val="0"/>
          <w:lang w:val="en-US"/>
        </w:rPr>
        <w:t>Term and Continuity</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This engagement shall remain valid for the initial 90-day period and shall continue thereafter on a monthly basis upon mutual agreement.</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rPr>
        <w:t>OGZ</w:t>
      </w:r>
      <w:r>
        <w:rPr>
          <w:rFonts w:ascii="Times New Roman" w:hAnsi="Times New Roman" w:hint="default"/>
          <w:sz w:val="40"/>
          <w:szCs w:val="40"/>
          <w:rtl w:val="1"/>
        </w:rPr>
        <w:t>’</w:t>
      </w:r>
      <w:r>
        <w:rPr>
          <w:rFonts w:ascii="Times New Roman" w:hAnsi="Times New Roman"/>
          <w:sz w:val="40"/>
          <w:szCs w:val="40"/>
          <w:rtl w:val="0"/>
          <w:lang w:val="en-US"/>
        </w:rPr>
        <w:t>s entitlement to fees shall survive termination of this agreement with respect to any introductions or transactions initiated during the term of this engagement.</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98" w:line="240" w:lineRule="auto"/>
        <w:jc w:val="left"/>
        <w:rPr>
          <w:rFonts w:ascii="Times New Roman" w:cs="Times New Roman" w:hAnsi="Times New Roman" w:eastAsia="Times New Roman"/>
          <w:b w:val="1"/>
          <w:bCs w:val="1"/>
          <w:sz w:val="36"/>
          <w:szCs w:val="36"/>
        </w:rPr>
      </w:pPr>
      <w:r>
        <w:rPr>
          <w:rFonts w:ascii="Times New Roman" w:hAnsi="Times New Roman"/>
          <w:b w:val="1"/>
          <w:bCs w:val="1"/>
          <w:sz w:val="48"/>
          <w:szCs w:val="48"/>
          <w:rtl w:val="0"/>
          <w:lang w:val="en-US"/>
        </w:rPr>
        <w:t>Governing Law</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This Agreement shall be governed by the laws of the Federal Republic of Nigeria.</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If the above terms are acceptable, kindly sign below to confirm your acceptance.</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40" w:line="240" w:lineRule="auto"/>
        <w:jc w:val="left"/>
        <w:rPr>
          <w:rFonts w:ascii="Times New Roman" w:cs="Times New Roman" w:hAnsi="Times New Roman" w:eastAsia="Times New Roman"/>
          <w:b w:val="0"/>
          <w:bCs w:val="0"/>
          <w:sz w:val="24"/>
          <w:szCs w:val="24"/>
        </w:rPr>
      </w:pPr>
      <w:r>
        <w:rPr>
          <w:rFonts w:ascii="Times New Roman" w:hAnsi="Times New Roman"/>
          <w:b w:val="1"/>
          <w:bCs w:val="1"/>
          <w:sz w:val="40"/>
          <w:szCs w:val="40"/>
          <w:rtl w:val="0"/>
          <w:lang w:val="en-US"/>
        </w:rPr>
        <w:t>For and on behalf of [Client Company Name]</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lang w:val="en-US"/>
        </w:rPr>
        <w:t>Name: __________________________</w:t>
      </w:r>
      <w:r>
        <w:rPr>
          <w:rFonts w:ascii="Times New Roman" w:cs="Times New Roman" w:hAnsi="Times New Roman" w:eastAsia="Times New Roman"/>
          <w:sz w:val="24"/>
          <w:szCs w:val="24"/>
        </w:rPr>
        <w:br w:type="textWrapping"/>
      </w:r>
      <w:r>
        <w:rPr>
          <w:rFonts w:ascii="Times New Roman" w:hAnsi="Times New Roman"/>
          <w:sz w:val="40"/>
          <w:szCs w:val="40"/>
          <w:rtl w:val="0"/>
          <w:lang w:val="en-US"/>
        </w:rPr>
        <w:t>Designation: _____________________</w:t>
      </w:r>
      <w:r>
        <w:rPr>
          <w:rFonts w:ascii="Times New Roman" w:cs="Times New Roman" w:hAnsi="Times New Roman" w:eastAsia="Times New Roman"/>
          <w:sz w:val="24"/>
          <w:szCs w:val="24"/>
        </w:rPr>
        <w:br w:type="textWrapping"/>
      </w:r>
      <w:r>
        <w:rPr>
          <w:rFonts w:ascii="Times New Roman" w:hAnsi="Times New Roman"/>
          <w:sz w:val="40"/>
          <w:szCs w:val="40"/>
          <w:rtl w:val="0"/>
          <w:lang w:val="en-US"/>
        </w:rPr>
        <w:t>Date: ___________________________</w:t>
      </w:r>
      <w:r>
        <w:rPr>
          <w:rFonts w:ascii="Times New Roman" w:cs="Times New Roman" w:hAnsi="Times New Roman" w:eastAsia="Times New Roman"/>
          <w:sz w:val="24"/>
          <w:szCs w:val="24"/>
        </w:rPr>
        <w:br w:type="textWrapping"/>
      </w:r>
      <w:r>
        <w:rPr>
          <w:rFonts w:ascii="Times New Roman" w:hAnsi="Times New Roman"/>
          <w:sz w:val="40"/>
          <w:szCs w:val="40"/>
          <w:rtl w:val="0"/>
          <w:lang w:val="en-US"/>
        </w:rPr>
        <w:t>Signature: _______________________</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after="240" w:line="240" w:lineRule="auto"/>
        <w:jc w:val="left"/>
        <w:rPr>
          <w:rFonts w:ascii="Times New Roman" w:cs="Times New Roman" w:hAnsi="Times New Roman" w:eastAsia="Times New Roman"/>
          <w:sz w:val="24"/>
          <w:szCs w:val="24"/>
        </w:rPr>
      </w:pPr>
      <w:r>
        <w:rPr>
          <w:rFonts w:ascii="Times New Roman" w:hAnsi="Times New Roman"/>
          <w:b w:val="1"/>
          <w:bCs w:val="1"/>
          <w:sz w:val="40"/>
          <w:szCs w:val="40"/>
          <w:rtl w:val="0"/>
          <w:lang w:val="en-US"/>
        </w:rPr>
        <w:t>Acknowledged and Accepted by:</w:t>
      </w:r>
      <w:r>
        <w:rPr>
          <w:rFonts w:ascii="Times New Roman" w:cs="Times New Roman" w:hAnsi="Times New Roman" w:eastAsia="Times New Roman"/>
          <w:sz w:val="24"/>
          <w:szCs w:val="24"/>
        </w:rPr>
        <w:br w:type="textWrapping"/>
      </w:r>
      <w:r>
        <w:rPr>
          <w:rFonts w:ascii="Times New Roman" w:hAnsi="Times New Roman"/>
          <w:sz w:val="40"/>
          <w:szCs w:val="40"/>
          <w:rtl w:val="0"/>
          <w:lang w:val="en-US"/>
        </w:rPr>
        <w:t>For and on behalf of OGZ Ventures Ltd</w:t>
      </w:r>
    </w:p>
    <w:p>
      <w:pPr>
        <w:pStyle w:val="Default"/>
        <w:suppressAutoHyphens w:val="1"/>
        <w:spacing w:before="0" w:after="240" w:line="240" w:lineRule="auto"/>
        <w:jc w:val="left"/>
        <w:rPr>
          <w:rFonts w:ascii="Times New Roman" w:cs="Times New Roman" w:hAnsi="Times New Roman" w:eastAsia="Times New Roman"/>
          <w:sz w:val="40"/>
          <w:szCs w:val="40"/>
        </w:rPr>
      </w:pPr>
      <w:r>
        <w:rPr>
          <w:rFonts w:ascii="Times New Roman" w:hAnsi="Times New Roman"/>
          <w:sz w:val="40"/>
          <w:szCs w:val="40"/>
          <w:rtl w:val="0"/>
        </w:rPr>
        <w:t>Femi Ogundipe</w:t>
      </w:r>
      <w:r>
        <w:rPr>
          <w:rFonts w:ascii="Times New Roman" w:cs="Times New Roman" w:hAnsi="Times New Roman" w:eastAsia="Times New Roman"/>
          <w:sz w:val="24"/>
          <w:szCs w:val="24"/>
        </w:rPr>
        <w:br w:type="textWrapping"/>
      </w:r>
      <w:r>
        <w:rPr>
          <w:rFonts w:ascii="Times New Roman" w:hAnsi="Times New Roman"/>
          <w:sz w:val="40"/>
          <w:szCs w:val="40"/>
          <w:rtl w:val="0"/>
          <w:lang w:val="en-US"/>
        </w:rPr>
        <w:t>Managing Director</w:t>
      </w:r>
    </w:p>
    <w:p>
      <w:pPr>
        <w:pStyle w:val="Default"/>
        <w:suppressAutoHyphens w:val="1"/>
        <w:spacing w:before="0" w:line="240" w:lineRule="auto"/>
        <w:jc w:val="left"/>
        <w:rPr>
          <w:rFonts w:ascii="Times New Roman" w:cs="Times New Roman" w:hAnsi="Times New Roman" w:eastAsia="Times New Roman"/>
          <w:outline w:val="0"/>
          <w:color w:val="7f7f7f"/>
          <w14:textFill>
            <w14:solidFill>
              <w14:srgbClr w14:val="808080"/>
            </w14:solidFill>
          </w14:textFill>
        </w:rPr>
      </w:pPr>
    </w:p>
    <w:p>
      <w:pPr>
        <w:pStyle w:val="Default"/>
        <w:suppressAutoHyphens w:val="1"/>
        <w:spacing w:before="0" w:line="240" w:lineRule="auto"/>
        <w:jc w:val="left"/>
      </w:pPr>
      <w:r>
        <w:rPr>
          <w:rFonts w:ascii="Times New Roman" w:cs="Times New Roman" w:hAnsi="Times New Roman" w:eastAsia="Times New Roman"/>
          <w:outline w:val="0"/>
          <w:color w:val="7f7f7f"/>
          <w14:textFill>
            <w14:solidFill>
              <w14:srgbClr w14:val="808080"/>
            </w14:solidFill>
          </w14:textFill>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72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94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116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138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160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82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204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226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2480" w:hanging="50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720" w:hanging="50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940" w:hanging="50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1160" w:hanging="50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1380" w:hanging="50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1600" w:hanging="50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820" w:hanging="50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2040" w:hanging="50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2260" w:hanging="50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2480" w:hanging="500"/>
        </w:pPr>
        <w:rPr>
          <w:rFonts w:ascii="Times New Roman" w:cs="Times New Roman" w:hAnsi="Times New Roman" w:eastAsia="Times New Roman"/>
          <w:b w:val="1"/>
          <w:bCs w:val="1"/>
          <w:i w:val="0"/>
          <w:iCs w:val="0"/>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de-DE"/>
      <w14:textOutline>
        <w14:noFill/>
      </w14:textOutline>
      <w14:textFill>
        <w14:solidFill>
          <w14:srgbClr w14:val="000000"/>
        </w14:solidFill>
      </w14:textFill>
    </w:rPr>
  </w:style>
  <w:style w:type="character" w:styleId="Hyperlink.0">
    <w:name w:val="Hyperlink.0"/>
    <w:basedOn w:val="Hyperlink"/>
    <w:next w:val="Hyperlink.0"/>
    <w:rPr>
      <w:u w:val="single"/>
    </w:rPr>
  </w:style>
  <w:style w:type="numbering" w:styleId="Bullet">
    <w:name w:val="Bullet"/>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